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班主任及语文数学老师讲话整理</w:t>
      </w:r>
    </w:p>
    <w:p>
      <w:pPr>
        <w:pStyle w:val="Subtitle"/>
      </w:pPr>
      <w:r>
        <w:t>2027届高三家长会  |  2026年10月23日</w:t>
      </w:r>
    </w:p>
    <w:p>
      <w:r>
        <w:t>本次班级交流依次包括班主任兼英语老师潘老师、语文老师和数学老师的讲话。三位老师共同强调课堂效率、真实独立完成作业、及时订正和稳定作息。潘老师还介绍了班级诊断情况、英语一考准备、升学信息和家长配合事项。</w:t>
      </w:r>
    </w:p>
    <w:p>
      <w:pPr>
        <w:pStyle w:val="Heading1"/>
      </w:pPr>
      <w:r>
        <w:t>一 潘老师介绍班级整体情况</w:t>
      </w:r>
    </w:p>
    <w:p>
      <w:r>
        <w:t>潘老师先回顾本次考试。班级重组后人员变动较大，整体实力受到影响，但学生仍有原有的学习基础，应相信自己并设定更高一些、可以努力实现的目标。语数外三门总分及六门总分均列年级第二，与相邻班级差距很小。学校全年级共12个班。</w:t>
      </w:r>
    </w:p>
    <w:p>
      <w:r>
        <w:t>数学均分112.38分，年级第二，较重组初始名次上升一位；英语均分113.24分，年级第三，和重组时相当。语文均分104.68分，年级第六，与重组后的初始位置持平。老师希望家长看见班级整体实力，也关注学生个人可以继续提升的部分。</w:t>
      </w:r>
    </w:p>
    <w:p>
      <w:r>
        <w:t>老师随后列举三门总分和六门总分位居班级前列的学生。姓名按现场名单照片校对，具体名次见本节表格。对于目前约在年级六十至八十名的学生，每科多争取两三分，就可能向年级前五十推进。老师指出，本次班级暂缺年级前十的学生，但仍有人具备冲击潜力，家长应多鼓励。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rPr>
          <w:tblHeader/>
        </w:trPr>
        <w:tc>
          <w:tcPr>
            <w:tcW w:type="dxa" w:w="3099"/>
          </w:tcPr>
          <w:p>
            <w:pPr>
              <w:keepNext/>
            </w:pPr>
            <w:r>
              <w:t>学生姓名</w:t>
            </w:r>
          </w:p>
        </w:tc>
        <w:tc>
          <w:tcPr>
            <w:tcW w:type="dxa" w:w="3099"/>
          </w:tcPr>
          <w:p>
            <w:pPr>
              <w:keepNext/>
            </w:pPr>
            <w:r>
              <w:t>语数外年级名次</w:t>
            </w:r>
          </w:p>
        </w:tc>
        <w:tc>
          <w:tcPr>
            <w:tcW w:type="dxa" w:w="3099"/>
          </w:tcPr>
          <w:p>
            <w:pPr>
              <w:keepNext/>
            </w:pPr>
            <w:r>
              <w:t>六科年级名次</w:t>
            </w:r>
          </w:p>
        </w:tc>
      </w:tr>
      <w:tr>
        <w:tc>
          <w:tcPr>
            <w:tcW w:type="dxa" w:w="3099"/>
          </w:tcPr>
          <w:p>
            <w:r>
              <w:t>高楚源＊</w:t>
            </w:r>
          </w:p>
        </w:tc>
        <w:tc>
          <w:tcPr>
            <w:tcW w:type="dxa" w:w="3099"/>
          </w:tcPr>
          <w:p>
            <w:r>
              <w:t>14</w:t>
            </w:r>
          </w:p>
        </w:tc>
        <w:tc>
          <w:tcPr>
            <w:tcW w:type="dxa" w:w="3099"/>
          </w:tcPr>
          <w:p>
            <w:r>
              <w:t>15</w:t>
            </w:r>
          </w:p>
        </w:tc>
      </w:tr>
      <w:tr>
        <w:tc>
          <w:tcPr>
            <w:tcW w:type="dxa" w:w="3099"/>
          </w:tcPr>
          <w:p>
            <w:r>
              <w:t>徐雨嬿</w:t>
            </w:r>
          </w:p>
        </w:tc>
        <w:tc>
          <w:tcPr>
            <w:tcW w:type="dxa" w:w="3099"/>
          </w:tcPr>
          <w:p>
            <w:r>
              <w:t>16</w:t>
            </w:r>
          </w:p>
        </w:tc>
        <w:tc>
          <w:tcPr>
            <w:tcW w:type="dxa" w:w="3099"/>
          </w:tcPr>
          <w:p>
            <w:r>
              <w:t>17</w:t>
            </w:r>
          </w:p>
        </w:tc>
      </w:tr>
      <w:tr>
        <w:tc>
          <w:tcPr>
            <w:tcW w:type="dxa" w:w="3099"/>
          </w:tcPr>
          <w:p>
            <w:r>
              <w:t>朱佳宜</w:t>
            </w:r>
          </w:p>
        </w:tc>
        <w:tc>
          <w:tcPr>
            <w:tcW w:type="dxa" w:w="3099"/>
          </w:tcPr>
          <w:p>
            <w:r>
              <w:t>27</w:t>
            </w:r>
          </w:p>
        </w:tc>
        <w:tc>
          <w:tcPr>
            <w:tcW w:type="dxa" w:w="3099"/>
          </w:tcPr>
          <w:p>
            <w:r>
              <w:t>11</w:t>
            </w:r>
          </w:p>
        </w:tc>
      </w:tr>
      <w:tr>
        <w:tc>
          <w:tcPr>
            <w:tcW w:type="dxa" w:w="3099"/>
          </w:tcPr>
          <w:p>
            <w:r>
              <w:t>唐劭程</w:t>
            </w:r>
          </w:p>
        </w:tc>
        <w:tc>
          <w:tcPr>
            <w:tcW w:type="dxa" w:w="3099"/>
          </w:tcPr>
          <w:p>
            <w:r>
              <w:t>34</w:t>
            </w:r>
          </w:p>
        </w:tc>
        <w:tc>
          <w:tcPr>
            <w:tcW w:type="dxa" w:w="3099"/>
          </w:tcPr>
          <w:p>
            <w:r>
              <w:t>27</w:t>
            </w:r>
          </w:p>
        </w:tc>
      </w:tr>
      <w:tr>
        <w:tc>
          <w:tcPr>
            <w:tcW w:type="dxa" w:w="3099"/>
          </w:tcPr>
          <w:p>
            <w:r>
              <w:t>陆伯涛</w:t>
            </w:r>
          </w:p>
        </w:tc>
        <w:tc>
          <w:tcPr>
            <w:tcW w:type="dxa" w:w="3099"/>
          </w:tcPr>
          <w:p>
            <w:r>
              <w:t>47</w:t>
            </w:r>
          </w:p>
        </w:tc>
        <w:tc>
          <w:tcPr>
            <w:tcW w:type="dxa" w:w="3099"/>
          </w:tcPr>
          <w:p>
            <w:r>
              <w:t>59</w:t>
            </w:r>
          </w:p>
        </w:tc>
      </w:tr>
      <w:tr>
        <w:tc>
          <w:tcPr>
            <w:tcW w:type="dxa" w:w="3099"/>
          </w:tcPr>
          <w:p>
            <w:r>
              <w:t>余达</w:t>
            </w:r>
          </w:p>
        </w:tc>
        <w:tc>
          <w:tcPr>
            <w:tcW w:type="dxa" w:w="3099"/>
          </w:tcPr>
          <w:p>
            <w:r>
              <w:t>61</w:t>
            </w:r>
          </w:p>
        </w:tc>
        <w:tc>
          <w:tcPr>
            <w:tcW w:type="dxa" w:w="3099"/>
          </w:tcPr>
          <w:p>
            <w:r>
              <w:t>—</w:t>
            </w:r>
          </w:p>
        </w:tc>
      </w:tr>
      <w:tr>
        <w:tc>
          <w:tcPr>
            <w:tcW w:type="dxa" w:w="3099"/>
          </w:tcPr>
          <w:p>
            <w:r>
              <w:t>沈俊泽</w:t>
            </w:r>
          </w:p>
        </w:tc>
        <w:tc>
          <w:tcPr>
            <w:tcW w:type="dxa" w:w="3099"/>
          </w:tcPr>
          <w:p>
            <w:r>
              <w:t>71</w:t>
            </w:r>
          </w:p>
        </w:tc>
        <w:tc>
          <w:tcPr>
            <w:tcW w:type="dxa" w:w="3099"/>
          </w:tcPr>
          <w:p>
            <w:r>
              <w:t>—</w:t>
            </w:r>
          </w:p>
        </w:tc>
      </w:tr>
      <w:tr>
        <w:tc>
          <w:tcPr>
            <w:tcW w:type="dxa" w:w="3099"/>
          </w:tcPr>
          <w:p>
            <w:r>
              <w:t>李梓萌＊</w:t>
            </w:r>
          </w:p>
        </w:tc>
        <w:tc>
          <w:tcPr>
            <w:tcW w:type="dxa" w:w="3099"/>
          </w:tcPr>
          <w:p>
            <w:r>
              <w:t>74</w:t>
            </w:r>
          </w:p>
        </w:tc>
        <w:tc>
          <w:tcPr>
            <w:tcW w:type="dxa" w:w="3099"/>
          </w:tcPr>
          <w:p>
            <w:r>
              <w:t>48</w:t>
            </w:r>
          </w:p>
        </w:tc>
      </w:tr>
      <w:tr>
        <w:tc>
          <w:tcPr>
            <w:tcW w:type="dxa" w:w="3099"/>
          </w:tcPr>
          <w:p>
            <w:r>
              <w:t>杨乐亦</w:t>
            </w:r>
          </w:p>
        </w:tc>
        <w:tc>
          <w:tcPr>
            <w:tcW w:type="dxa" w:w="3099"/>
          </w:tcPr>
          <w:p>
            <w:r>
              <w:t>79</w:t>
            </w:r>
          </w:p>
        </w:tc>
        <w:tc>
          <w:tcPr>
            <w:tcW w:type="dxa" w:w="3099"/>
          </w:tcPr>
          <w:p>
            <w:r>
              <w:t>—</w:t>
            </w:r>
          </w:p>
        </w:tc>
      </w:tr>
      <w:tr>
        <w:tc>
          <w:tcPr>
            <w:tcW w:type="dxa" w:w="3099"/>
          </w:tcPr>
          <w:p>
            <w:r>
              <w:t>王子轩</w:t>
            </w:r>
          </w:p>
        </w:tc>
        <w:tc>
          <w:tcPr>
            <w:tcW w:type="dxa" w:w="3099"/>
          </w:tcPr>
          <w:p>
            <w:r>
              <w:t>82</w:t>
            </w:r>
          </w:p>
        </w:tc>
        <w:tc>
          <w:tcPr>
            <w:tcW w:type="dxa" w:w="3099"/>
          </w:tcPr>
          <w:p>
            <w:r>
              <w:t>—</w:t>
            </w:r>
          </w:p>
        </w:tc>
      </w:tr>
      <w:tr>
        <w:tc>
          <w:tcPr>
            <w:tcW w:type="dxa" w:w="3099"/>
          </w:tcPr>
          <w:p>
            <w:r>
              <w:t>高张轩</w:t>
            </w:r>
          </w:p>
        </w:tc>
        <w:tc>
          <w:tcPr>
            <w:tcW w:type="dxa" w:w="3099"/>
          </w:tcPr>
          <w:p>
            <w:r>
              <w:t>—</w:t>
            </w:r>
          </w:p>
        </w:tc>
        <w:tc>
          <w:tcPr>
            <w:tcW w:type="dxa" w:w="3099"/>
          </w:tcPr>
          <w:p>
            <w:r>
              <w:t>33</w:t>
            </w:r>
          </w:p>
        </w:tc>
      </w:tr>
      <w:tr>
        <w:tc>
          <w:tcPr>
            <w:tcW w:type="dxa" w:w="3099"/>
          </w:tcPr>
          <w:p>
            <w:r>
              <w:t>赵睿宁＊</w:t>
            </w:r>
          </w:p>
        </w:tc>
        <w:tc>
          <w:tcPr>
            <w:tcW w:type="dxa" w:w="3099"/>
          </w:tcPr>
          <w:p>
            <w:r>
              <w:t>—</w:t>
            </w:r>
          </w:p>
        </w:tc>
        <w:tc>
          <w:tcPr>
            <w:tcW w:type="dxa" w:w="3099"/>
          </w:tcPr>
          <w:p>
            <w:r>
              <w:t>73</w:t>
            </w:r>
          </w:p>
        </w:tc>
      </w:tr>
      <w:tr>
        <w:tc>
          <w:tcPr>
            <w:tcW w:type="dxa" w:w="3099"/>
          </w:tcPr>
          <w:p>
            <w:r>
              <w:t>王子伊</w:t>
            </w:r>
          </w:p>
        </w:tc>
        <w:tc>
          <w:tcPr>
            <w:tcW w:type="dxa" w:w="3099"/>
          </w:tcPr>
          <w:p>
            <w:r>
              <w:t>—</w:t>
            </w:r>
          </w:p>
        </w:tc>
        <w:tc>
          <w:tcPr>
            <w:tcW w:type="dxa" w:w="3099"/>
          </w:tcPr>
          <w:p>
            <w:r>
              <w:t>81</w:t>
            </w:r>
          </w:p>
        </w:tc>
      </w:tr>
      <w:tr>
        <w:tc>
          <w:tcPr>
            <w:tcW w:type="dxa" w:w="3099"/>
          </w:tcPr>
          <w:p>
            <w:r>
              <w:t>龙雨嘉</w:t>
            </w:r>
          </w:p>
        </w:tc>
        <w:tc>
          <w:tcPr>
            <w:tcW w:type="dxa" w:w="3099"/>
          </w:tcPr>
          <w:p>
            <w:r>
              <w:t>—</w:t>
            </w:r>
          </w:p>
        </w:tc>
        <w:tc>
          <w:tcPr>
            <w:tcW w:type="dxa" w:w="3099"/>
          </w:tcPr>
          <w:p>
            <w:r>
              <w:t>81</w:t>
            </w:r>
          </w:p>
        </w:tc>
      </w:tr>
    </w:tbl>
    <w:p>
      <w:r>
        <w:t>表中名次据潘老师口头列举记录；“—”表示未在相应前列名单中提及，不表示没有成绩。带＊姓名为根据发音与照片名单对应的结果，尚需与家长收到的成绩单最终核对，特别是首位三门总分学生姓名。其他姓名字形以名单照片校对；成绩、名次仍以学校成绩单为准。</w:t>
      </w:r>
    </w:p>
    <w:p>
      <w:r>
        <w:t>11月上旬将有一次质量较高的期中考试，学生应据此次诊断做好下一阶段准备。年级主任在大会上明确的口头日期为11月10日至11日。</w:t>
      </w:r>
    </w:p>
    <w:p>
      <w:pPr>
        <w:pStyle w:val="Heading1"/>
      </w:pPr>
      <w:r>
        <w:t>二 潘老师谈英语一考准备</w:t>
      </w:r>
    </w:p>
    <w:p>
      <w:r>
        <w:t>本次英语最大不足是没有130分以上的学生，最高分现场说约128.5或129分。潘老师带这些学生已有两年，认为仍有学生有实力继续向上冲，接下来应面向1月英语一考抓好训练。</w:t>
      </w:r>
    </w:p>
    <w:p>
      <w:r>
        <w:t>第一是课堂效率。有的学生打瞌睡，有的人虽然坐在教室里，却不提问、不记笔记，也不主动思考。家长应与孩子沟通课堂状态，并从饮食、营养和作息方面提供支持，让学生保持比较充沛的精力。</w:t>
      </w:r>
    </w:p>
    <w:p>
      <w:r>
        <w:t>第二是单词背诵与默写。老师指出，部分学生只在默写前临时看一眼，背得不认真，默写不理想；还有偷看讲义、交本前向同学补问答案等情况。这些做法掩盖了真实薄弱点。家长应关注孩子是否平时认真背记，而非只看一次默写成绩。</w:t>
      </w:r>
    </w:p>
    <w:p>
      <w:r>
        <w:t>默写后必须及时、按答案正确订正。老师每次都会提供答案，但有学生凭自己的想法随便改，改后仍错；批注“重新订正”也未落实。词汇关必须踏实过，不能只把订正当成完成形式。</w:t>
      </w:r>
    </w:p>
    <w:p>
      <w:r>
        <w:t>第三是限时、独立、留痕地做题。英语篇章不能长期只靠零碎时间东做一篇、西做一篇，要安排完整的训练时段，练习正式考试的节奏与时间分配。作业应认真独立完成，不能抄选择题答案。</w:t>
      </w:r>
    </w:p>
    <w:p>
      <w:r>
        <w:t>做题要留下思考痕迹，例如圈画关键内容、分析句子结构、标记推理过程。潘老师以高楚源同学为例，称其卷面能看到明显的分析过程，状态越来越好。只有答案、没有任何分析痕迹的作业，难以反映真实学习过程。</w:t>
      </w:r>
    </w:p>
    <w:p>
      <w:r>
        <w:t>如仍有余力，可补充各校名校卷和SSP报上的专项训练，如阅读、翻译、概要写作等。各区近年的模拟卷学校会安排，不必重复购买、重复刷题。补充训练应在校内要求落实后有针对性进行。</w:t>
      </w:r>
    </w:p>
    <w:p>
      <w:pPr>
        <w:pStyle w:val="Heading1"/>
      </w:pPr>
      <w:r>
        <w:t>三 英语作文平台 听说训练与早读</w:t>
      </w:r>
    </w:p>
    <w:p>
      <w:r>
        <w:t>潘老师介绍“小思”平台，老师特别说明是“思考的思”。此前已在家长群通知注册激活。老师布置作文任务后，学生拍照上传，平台可从语言、内容、结构等方面分析并提出修改建议，还可提供相近作文训练。</w:t>
      </w:r>
    </w:p>
    <w:p>
      <w:r>
        <w:t>老师指出，不少学生尚未按要求提交作文。一般周三晚英语检测、周日下午完整试卷训练后，需要拍照上传作文；若课程安排被其他活动调整，则依老师当次通知执行。家长可以关注是否完成上传，并督促学生利用反馈修改。现场红圈标记用于说明未提交情况，但不能仅凭名单照片的圈画推断每一名学生的具体情况。</w:t>
      </w:r>
    </w:p>
    <w:p>
      <w:r>
        <w:t>另一项是“翼听说”听力口语训练，平台名称按常用写法整理，实际入口以群内资料为准。此前由课代表联系相关资料，未要求全班统一订购；已有资料的学生应充分使用。潘老师举例，余达、李梓萌、陆伯涛等同学经常练习。</w:t>
      </w:r>
    </w:p>
    <w:p>
      <w:r>
        <w:t>班级听力还需要加强。周四、周五早读7点30分开始统一播放听力，铃声响就开始，没有补听前面部分的空隙。迟到会漏掉短对话等内容，破坏整套训练；有的学生早读趴着睡，做完后翻答案、抄答案再改几个错交上去，这样的训练没有实际效果。家长应配合准时到校，并关注训练是否真实完成。</w:t>
      </w:r>
    </w:p>
    <w:p>
      <w:pPr>
        <w:pStyle w:val="Heading1"/>
      </w:pPr>
      <w:r>
        <w:t>四 潘老师提出的班级与家长配合要求</w:t>
      </w:r>
    </w:p>
    <w:p>
      <w:r>
        <w:t>第一，确保准时到校。一般早上7点30分应已坐在教室；周一升旗仪式更早，7点20分即有安排，周一7点30分到已经迟到。周一至周三早上也都有学习或活动安排。</w:t>
      </w:r>
    </w:p>
    <w:p>
      <w:r>
        <w:t>第二，及时查看钉钉群通知。不要让老师就同一件事反复点名提醒。家长可在午休或晚饭后定时查看，及时完成与孩子有关的信息确认、材料和事务。即使无法直接辅导高三学业，也可以把这些支持做好。</w:t>
      </w:r>
    </w:p>
    <w:p>
      <w:r>
        <w:t>第三，关注孩子在家的学习、情绪和心理状态。家也是学生的重要生活与学习场所，不能只反复询问老师“在学校怎么样”。如发现异常，及时和潘老师互通，老师在学校也会更有针对性地关注。</w:t>
      </w:r>
    </w:p>
    <w:p>
      <w:r>
        <w:t>第四，主动了解高考信息。学生订有《高招周刊》，家长应阅读；同时关注“上海招考热线”等官方渠道。老师现场对网址只作口头回忆，本文不照录不确定的网址，以免误导。中外合作及部分其他升学项目可能要提前报名、考试，不能等高考出分才想起查询。</w:t>
      </w:r>
    </w:p>
    <w:p>
      <w:r>
        <w:t>第五，提前借阅2024、2025年度《各专业录取人数和考分》一类资料，并结合将获得的2026年数据，连续三年看院校专业、分数和位次变化，逐步形成目标范围。可利用亲友资源借阅；潘老师称自己有完整的一套资料。</w:t>
      </w:r>
    </w:p>
    <w:p>
      <w:r>
        <w:t>对于少数加三科目长期处于较低等级的学生，潘老师建议认真考虑春考。若决定以春考为目标，请主动告诉老师，她会与语文、数学老师沟通，在接下来一段时间给予更有针对性的支持。</w:t>
      </w:r>
    </w:p>
    <w:p>
      <w:pPr>
        <w:pStyle w:val="Heading1"/>
      </w:pPr>
      <w:r>
        <w:t>五 语文老师肯定默写和作文的阶段进步</w:t>
      </w:r>
    </w:p>
    <w:p>
      <w:r>
        <w:t>语文老师结合接手班级约一个月后的考试进行交流，认为学生整体表现不错。短期内想让语文成绩更快见效，她首先抓默写和作文：默写容易明确落实，作文则分值大。</w:t>
      </w:r>
    </w:p>
    <w:p>
      <w:r>
        <w:t>本次默写表现很好，老师介绍只有一名学生因字迹连笔被扣1分，其余学生这一项均取得5分满分。作文框架也基本建立起来，老师提到28名学生的作文得分达到她设定的相应控制线以上；录音未能清晰确认该控制线的具体称谓，不补写为某个分数标准。</w:t>
      </w:r>
    </w:p>
    <w:p>
      <w:r>
        <w:t>当前更突出的问题在论述类文本，尤其是精准审题和答题条目化。接下来的课堂会在这两方面继续训练：理解题目究竟问什么，再把答案组织成层次清楚、对应问题的要点。</w:t>
      </w:r>
    </w:p>
    <w:p>
      <w:pPr>
        <w:pStyle w:val="Heading1"/>
      </w:pPr>
      <w:r>
        <w:t>六 语文背诵 阅读与思辨能力</w:t>
      </w:r>
    </w:p>
    <w:p>
      <w:r>
        <w:t>本次默写主要涉及高三内容，范围较少，之后将扩展到五册教材。老师已发电子稿，教研组也已打印材料，计划周一发给学生。家长可提醒孩子收好、夹好资料，用碎片时间把已背过的课文温习、补齐、背熟。</w:t>
      </w:r>
    </w:p>
    <w:p>
      <w:r>
        <w:t>老师希望课堂主要用于检测是否过关，把更多时间留给教学。如果多名学生一直不能通过默写，就只能再占用课堂时间补做。睡前看一看、吃饭前回忆一下等短时间复习，通常比很久不碰后集中突击更有效。</w:t>
      </w:r>
    </w:p>
    <w:p>
      <w:r>
        <w:t>有余力时，可多读哲学类或论述性文本。老师解释，小学初中较多接触字词、篇章和审美层面，而高中语文更强调逻辑和思辨，衔接变化会让部分过去语文不错的学生感到成绩落差。她以此鼓励理科生，不要预先认定自己学不好语文；逻辑能力同样有助于阅读和作文。</w:t>
      </w:r>
    </w:p>
    <w:p>
      <w:pPr>
        <w:pStyle w:val="Heading1"/>
      </w:pPr>
      <w:r>
        <w:t>七 语文老师强调睡眠与课堂效率</w:t>
      </w:r>
    </w:p>
    <w:p>
      <w:r>
        <w:t>老师反复提醒，不要用夜间长期熬夜换取低效完成作业。晚上十二点多、一点多仍在做题，第二天可能整堂课困倦，听不到新内容，回家作业又不会做，形成恶性循环。</w:t>
      </w:r>
    </w:p>
    <w:p>
      <w:r>
        <w:t>语文作业量会控制，学生若课堂认真听、把布置的作业认真完成，剩余时间可用于阅读。若已经很晚仍不能完成，应主动沟通，而非持续硬熬。老师举例，曾在一节课多次请某学生回答问题，学生坐下不到两分钟又睡着，说明疲劳已明显影响一个月以来的学习效率。</w:t>
      </w:r>
    </w:p>
    <w:p>
      <w:r>
        <w:t>家长应帮助孩子尽量早睡，关注真实身体状态。如有个别问题，可以继续通过钉钉与老师单独交流。</w:t>
      </w:r>
    </w:p>
    <w:p>
      <w:pPr>
        <w:pStyle w:val="Heading1"/>
      </w:pPr>
      <w:r>
        <w:t>八 数学老师强调课堂学习与独立作业</w:t>
      </w:r>
    </w:p>
    <w:p>
      <w:r>
        <w:t>数学老师把要求归为课堂和作业两方面。课堂最低要求是保持清醒；更进一步应跟上思考，随老师分析，主动动脑，有不懂就问。她肯定班上不少孩子参与积极，也指出个别学生仍反复瞌睡，连最低要求都达不到。</w:t>
      </w:r>
    </w:p>
    <w:p>
      <w:r>
        <w:t>老师谈到周一下午两节数学课，有学生中午睡过后仍反复打瞌睡。她会先了解是否夜间睡得太晚，而不是只批评。家长应与孩子一起分析时间为什么不够，是白天没有抓紧、效率问题，还是需要调整安排。老师口头希望尽量不要晚于午夜入睡，这不是建议把午夜当作每天必须学到的时间。</w:t>
      </w:r>
    </w:p>
    <w:p>
      <w:r>
        <w:t>课堂是学习新知识的主要时间，作业是巩固时间。如果白天不听，晚上再堆时间补，效率会很低。先提高白天效率，才能逐步把晚上作息拉回正常。</w:t>
      </w:r>
    </w:p>
    <w:p>
      <w:r>
        <w:t>作业最低要求是独立完成，不抄、不依赖搜题。老师曾分享关于搜题影响的文章，并解释，学生一做就想核对答案、一不会就立即搜索，会逐渐失去对自己推理与判断的信任，也就不再愿意独立思考。</w:t>
      </w:r>
    </w:p>
    <w:p>
      <w:r>
        <w:t>老师在课堂上重视推理过程，而不只是报答案：看到条件应想到什么，为什么能推出这个结论，还缺哪些信息。作业也应给自己充分的思考时间，不能只求迅速写上结果。</w:t>
      </w:r>
    </w:p>
    <w:p>
      <w:pPr>
        <w:pStyle w:val="Heading1"/>
      </w:pPr>
      <w:r>
        <w:t>九 数学作业安排 订正与信心</w:t>
      </w:r>
    </w:p>
    <w:p>
      <w:r>
        <w:t>数学老师会统筹每日训练量。若周日已经安排较长时间的学习，相应周末书面作业会适当减少。但“今天新作业少”并不等于“没有学习任务”，本周已有的错题还需要回顾、总结与思考。</w:t>
      </w:r>
    </w:p>
    <w:p>
      <w:r>
        <w:t>更高的作业要求是把独立思考做充分，并及时订正。老师对学生平时表现有记录，倾向于先与学生本人沟通，相信高三学生可以自己改进；若家长来了解情况，会如实反馈。</w:t>
      </w:r>
    </w:p>
    <w:p>
      <w:r>
        <w:t>一次考得不好，不要对自己失去信心；考得好也不要骄傲，高三仍有变化空间和可用时间。家长如希望了解具体的课堂和作业表现，可以个别与数学老师沟通。</w:t>
      </w:r>
    </w:p>
    <w:p>
      <w:pPr>
        <w:pStyle w:val="Heading1"/>
      </w:pPr>
      <w:r>
        <w:t>十 三位老师共同要求与资料索引</w:t>
      </w:r>
    </w:p>
    <w:p>
      <w:r>
        <w:t>家庭可以优先落实这些具体事项：保障睡眠与到校时间；关注课堂是否清醒参与；检查作业和默写是否真实完成、订正是否到位；按要求上传英语作文、使用已有听说资料；用碎片时间温习语文背诵；定时看群通知，及时与老师交流状态变化。</w:t>
      </w:r>
    </w:p>
    <w:p>
      <w:r>
        <w:t>对应小录音约00:00至16:32为潘老师，约16:40至22:11为语文老师，约22:46至27:37为数学老师。尾部还涉及个别交流和等级科目老师所在楼层的现场引导，其中部分听辨不清，不据此安排具体地点。语文、数学老师姓名未确认，本文按任教学科标识。</w:t>
      </w:r>
    </w:p>
    <w:sectPr w:rsidR="00FC693F" w:rsidRPr="0006063C" w:rsidSect="00034616">
      <w:footerReference w:type="default" r:id="rId9"/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00" w:lineRule="auto"/>
    </w:pPr>
    <w:rPr>
      <w:rFonts w:ascii="Source Han Sans CN" w:hAnsi="Source Han Sans CN" w:eastAsia="Source Han Sans C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300" w:lineRule="auto"/>
      <w:outlineLvl w:val="0"/>
    </w:pPr>
    <w:rPr>
      <w:rFonts w:asciiTheme="majorHAnsi" w:eastAsiaTheme="majorEastAsia" w:hAnsiTheme="majorHAnsi" w:cstheme="majorBidi" w:ascii="Source Han Sans CN" w:hAnsi="Source Han Sans CN" w:eastAsia="Source Han Sans C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300" w:lineRule="auto"/>
      <w:outlineLvl w:val="1"/>
    </w:pPr>
    <w:rPr>
      <w:rFonts w:asciiTheme="majorHAnsi" w:eastAsiaTheme="majorEastAsia" w:hAnsiTheme="majorHAnsi" w:cstheme="majorBidi" w:ascii="Source Han Sans CN" w:hAnsi="Source Han Sans CN" w:eastAsia="Source Han Sans C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300" w:lineRule="auto"/>
      <w:contextualSpacing/>
    </w:pPr>
    <w:rPr>
      <w:rFonts w:asciiTheme="majorHAnsi" w:eastAsiaTheme="majorEastAsia" w:hAnsiTheme="majorHAnsi" w:cstheme="majorBidi" w:ascii="Source Han Sans CN" w:hAnsi="Source Han Sans CN" w:eastAsia="Source Han Sans CN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300" w:lineRule="auto"/>
    </w:pPr>
    <w:rPr>
      <w:rFonts w:asciiTheme="majorHAnsi" w:eastAsiaTheme="majorEastAsia" w:hAnsiTheme="majorHAnsi" w:cstheme="majorBidi" w:ascii="Source Han Sans CN" w:hAnsi="Source Han Sans CN" w:eastAsia="Source Han Sans CN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300" w:lineRule="auto" w:after="140"/>
    </w:pPr>
    <w:rPr>
      <w:rFonts w:ascii="Source Han Sans CN" w:hAnsi="Source Han Sans CN" w:eastAsia="Source Han Sans C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