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高三年级主任讲话整理</w:t>
      </w:r>
    </w:p>
    <w:p>
      <w:pPr>
        <w:pStyle w:val="Subtitle"/>
      </w:pPr>
      <w:r>
        <w:t>2027届高三家长会  |  2026年10月23日</w:t>
      </w:r>
    </w:p>
    <w:p>
      <w:r>
        <w:t>年级主任围绕本次诊断考试、后续教学节奏、英语一考策略、日常管理和家校配合进行说明，强调把考试当作诊断，家长先稳住情绪，并通过持续关注与实际行动支持学生。</w:t>
      </w:r>
    </w:p>
    <w:p>
      <w:pPr>
        <w:pStyle w:val="Heading1"/>
      </w:pPr>
      <w:r>
        <w:t>一 先看清起点 再调整后续学习</w:t>
      </w:r>
    </w:p>
    <w:p>
      <w:r>
        <w:t>主任先回应家长对亲子关系的期待，提到现场反馈中“耐心”“支持”是高频词。超过95%的家长参加了本次会议，体现了对孩子的关心；但关心要转化为适合孩子的具体行动。现场同时提醒，不建议把外卖带进学校。</w:t>
      </w:r>
    </w:p>
    <w:p>
      <w:r>
        <w:t>这次考试是大样本诊断，目的是看清与未来共同参加高考的同龄人的比较位置。考得好不必骄傲，考得不理想也不要慌。年级组、学科组会调整教学，学生也有时间调整学习方法和状态。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649"/>
        <w:gridCol w:w="4649"/>
      </w:tblGrid>
      <w:tr>
        <w:trPr>
          <w:tblHeader/>
        </w:trPr>
        <w:tc>
          <w:tcPr>
            <w:tcW w:type="dxa" w:w="4649"/>
          </w:tcPr>
          <w:p>
            <w:pPr>
              <w:keepNext/>
            </w:pPr>
            <w:r>
              <w:t>项目</w:t>
            </w:r>
          </w:p>
        </w:tc>
        <w:tc>
          <w:tcPr>
            <w:tcW w:type="dxa" w:w="4649"/>
          </w:tcPr>
          <w:p>
            <w:pPr>
              <w:keepNext/>
            </w:pPr>
            <w:r>
              <w:t>主任现场公布的数据</w:t>
            </w:r>
          </w:p>
        </w:tc>
      </w:tr>
      <w:tr>
        <w:tc>
          <w:tcPr>
            <w:tcW w:type="dxa" w:w="4649"/>
          </w:tcPr>
          <w:p>
            <w:r>
              <w:t>语文年级均分</w:t>
            </w:r>
          </w:p>
        </w:tc>
        <w:tc>
          <w:tcPr>
            <w:tcW w:type="dxa" w:w="4649"/>
          </w:tcPr>
          <w:p>
            <w:r>
              <w:t>104.35分</w:t>
            </w:r>
          </w:p>
        </w:tc>
      </w:tr>
      <w:tr>
        <w:tc>
          <w:tcPr>
            <w:tcW w:type="dxa" w:w="4649"/>
          </w:tcPr>
          <w:p>
            <w:r>
              <w:t>数学年级均分</w:t>
            </w:r>
          </w:p>
        </w:tc>
        <w:tc>
          <w:tcPr>
            <w:tcW w:type="dxa" w:w="4649"/>
          </w:tcPr>
          <w:p>
            <w:r>
              <w:t>105.07分</w:t>
            </w:r>
          </w:p>
        </w:tc>
      </w:tr>
      <w:tr>
        <w:tc>
          <w:tcPr>
            <w:tcW w:type="dxa" w:w="4649"/>
          </w:tcPr>
          <w:p>
            <w:r>
              <w:t>英语年级均分</w:t>
            </w:r>
          </w:p>
        </w:tc>
        <w:tc>
          <w:tcPr>
            <w:tcW w:type="dxa" w:w="4649"/>
          </w:tcPr>
          <w:p>
            <w:r>
              <w:t>109.28分</w:t>
            </w:r>
          </w:p>
        </w:tc>
      </w:tr>
      <w:tr>
        <w:tc>
          <w:tcPr>
            <w:tcW w:type="dxa" w:w="4649"/>
          </w:tcPr>
          <w:p>
            <w:r>
              <w:t>语数外最高总分</w:t>
            </w:r>
          </w:p>
        </w:tc>
        <w:tc>
          <w:tcPr>
            <w:tcW w:type="dxa" w:w="4649"/>
          </w:tcPr>
          <w:p>
            <w:r>
              <w:t>384分</w:t>
            </w:r>
          </w:p>
        </w:tc>
      </w:tr>
      <w:tr>
        <w:tc>
          <w:tcPr>
            <w:tcW w:type="dxa" w:w="4649"/>
          </w:tcPr>
          <w:p>
            <w:r>
              <w:t>六科最高总分</w:t>
            </w:r>
          </w:p>
        </w:tc>
        <w:tc>
          <w:tcPr>
            <w:tcW w:type="dxa" w:w="4649"/>
          </w:tcPr>
          <w:p>
            <w:r>
              <w:t>585分</w:t>
            </w:r>
          </w:p>
        </w:tc>
      </w:tr>
      <w:tr>
        <w:tc>
          <w:tcPr>
            <w:tcW w:type="dxa" w:w="4649"/>
          </w:tcPr>
          <w:p>
            <w:r>
              <w:t>某班语数英均分示例</w:t>
            </w:r>
          </w:p>
        </w:tc>
        <w:tc>
          <w:tcPr>
            <w:tcW w:type="dxa" w:w="4649"/>
          </w:tcPr>
          <w:p>
            <w:r>
              <w:t>109分、119分、120分</w:t>
            </w:r>
          </w:p>
        </w:tc>
      </w:tr>
      <w:tr>
        <w:tc>
          <w:tcPr>
            <w:tcW w:type="dxa" w:w="4649"/>
          </w:tcPr>
          <w:p>
            <w:r>
              <w:t>上述班级六科均分示例</w:t>
            </w:r>
          </w:p>
        </w:tc>
        <w:tc>
          <w:tcPr>
            <w:tcW w:type="dxa" w:w="4649"/>
          </w:tcPr>
          <w:p>
            <w:r>
              <w:t>532分</w:t>
            </w:r>
          </w:p>
        </w:tc>
      </w:tr>
    </w:tbl>
    <w:p>
      <w:r>
        <w:t>主任称六科最高分在本次大样本中位居第一。等级科目需要按位次进行等级赋分，不能只看原始分。某班均分仅作说明，不应直接归到本家庭所在班级，也不能拿来给每个孩子设定同一标准。诊断有代表性，但不具有决定性；此时关键是接下来在对应时间做好对应的事情。</w:t>
      </w:r>
    </w:p>
    <w:p>
      <w:pPr>
        <w:pStyle w:val="Heading1"/>
      </w:pPr>
      <w:r>
        <w:t>二 本学期至春考后的关键节点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649"/>
        <w:gridCol w:w="4649"/>
      </w:tblGrid>
      <w:tr>
        <w:trPr>
          <w:tblHeader/>
        </w:trPr>
        <w:tc>
          <w:tcPr>
            <w:tcW w:type="dxa" w:w="4649"/>
          </w:tcPr>
          <w:p>
            <w:pPr>
              <w:keepNext/>
            </w:pPr>
            <w:r>
              <w:t>时间</w:t>
            </w:r>
          </w:p>
        </w:tc>
        <w:tc>
          <w:tcPr>
            <w:tcW w:type="dxa" w:w="4649"/>
          </w:tcPr>
          <w:p>
            <w:pPr>
              <w:keepNext/>
            </w:pPr>
            <w:r>
              <w:t>现场说明的安排</w:t>
            </w:r>
          </w:p>
        </w:tc>
      </w:tr>
      <w:tr>
        <w:tc>
          <w:tcPr>
            <w:tcW w:type="dxa" w:w="4649"/>
          </w:tcPr>
          <w:p>
            <w:r>
              <w:t>11月10日至11日</w:t>
            </w:r>
          </w:p>
        </w:tc>
        <w:tc>
          <w:tcPr>
            <w:tcW w:type="dxa" w:w="4649"/>
          </w:tcPr>
          <w:p>
            <w:r>
              <w:t>期中考试</w:t>
            </w:r>
          </w:p>
        </w:tc>
      </w:tr>
      <w:tr>
        <w:tc>
          <w:tcPr>
            <w:tcW w:type="dxa" w:w="4649"/>
          </w:tcPr>
          <w:p>
            <w:r>
              <w:t>12月7日所在周</w:t>
            </w:r>
          </w:p>
        </w:tc>
        <w:tc>
          <w:tcPr>
            <w:tcW w:type="dxa" w:w="4649"/>
          </w:tcPr>
          <w:p>
            <w:r>
              <w:t>区语数外一模</w:t>
            </w:r>
          </w:p>
        </w:tc>
      </w:tr>
      <w:tr>
        <w:tc>
          <w:tcPr>
            <w:tcW w:type="dxa" w:w="4649"/>
          </w:tcPr>
          <w:p>
            <w:r>
              <w:t>语数外一模之后</w:t>
            </w:r>
          </w:p>
        </w:tc>
        <w:tc>
          <w:tcPr>
            <w:tcW w:type="dxa" w:w="4649"/>
          </w:tcPr>
          <w:p>
            <w:r>
              <w:t>调整学程，重点准备春考及英语第一次考试</w:t>
            </w:r>
          </w:p>
        </w:tc>
      </w:tr>
      <w:tr>
        <w:tc>
          <w:tcPr>
            <w:tcW w:type="dxa" w:w="4649"/>
          </w:tcPr>
          <w:p>
            <w:r>
              <w:t>次年1月</w:t>
            </w:r>
          </w:p>
        </w:tc>
        <w:tc>
          <w:tcPr>
            <w:tcW w:type="dxa" w:w="4649"/>
          </w:tcPr>
          <w:p>
            <w:r>
              <w:t>春考及英语一考</w:t>
            </w:r>
          </w:p>
        </w:tc>
      </w:tr>
      <w:tr>
        <w:tc>
          <w:tcPr>
            <w:tcW w:type="dxa" w:w="4649"/>
          </w:tcPr>
          <w:p>
            <w:r>
              <w:t>次年1月18日所在周</w:t>
            </w:r>
          </w:p>
        </w:tc>
        <w:tc>
          <w:tcPr>
            <w:tcW w:type="dxa" w:w="4649"/>
          </w:tcPr>
          <w:p>
            <w:r>
              <w:t>春考后开展等级科目区一模</w:t>
            </w:r>
          </w:p>
        </w:tc>
      </w:tr>
    </w:tbl>
    <w:p>
      <w:r>
        <w:t>上述日期按会议当时口头安排记录，具体考试与课表以后续学校通知为准。区里的考试安排和学校学程调整，都围绕学生备考节奏展开。后续在重要考试以及春考出分之后，学校还会安排全体或部分家长会，帮助每个孩子形成更适合的升学方案。</w:t>
      </w:r>
    </w:p>
    <w:p>
      <w:pPr>
        <w:pStyle w:val="Heading1"/>
      </w:pPr>
      <w:r>
        <w:t>三 英语一考后的取舍要因人而异</w:t>
      </w:r>
    </w:p>
    <w:p>
      <w:r>
        <w:t>本阶段英语课时和训练强度较高，学校希望学生在一考中取得尽可能好的成绩，第二学期为其他科目争取时间。春考后英语课时会有所减少，因为需要兼顾其他学科。</w:t>
      </w:r>
    </w:p>
    <w:p>
      <w:r>
        <w:t>是否继续投入英语，没有全体统一的分数线。学校会整理学生入学以来重要考试的英语位次，交给学生和家长参考，再结合个人长期水平、此次发挥和其他科目的需要作决定。</w:t>
      </w:r>
    </w:p>
    <w:p>
      <w:r>
        <w:t>主任举例，平时约105分的学生，如果一考考到125分、达到三年来个人最好位置，即使同年级有人考140分以上，也可以考虑把更多精力转向其他科目。相反，平时稳定135分以上而一考只考130分的学生，可以考虑继续争取。重点是看个人表现与精力分配，不能以别人分数简单决定。</w:t>
      </w:r>
    </w:p>
    <w:p>
      <w:r>
        <w:t>继续备考英语会占用其他科目的时间。眼前共同任务是集中精力把一考考好，等成绩和位次明确后再选择，而非现在提前放松。</w:t>
      </w:r>
    </w:p>
    <w:p>
      <w:pPr>
        <w:pStyle w:val="Heading1"/>
      </w:pPr>
      <w:r>
        <w:t>四 每周教学与分层安排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649"/>
        <w:gridCol w:w="4649"/>
      </w:tblGrid>
      <w:tr>
        <w:trPr>
          <w:tblHeader/>
        </w:trPr>
        <w:tc>
          <w:tcPr>
            <w:tcW w:type="dxa" w:w="4649"/>
          </w:tcPr>
          <w:p>
            <w:pPr>
              <w:keepNext/>
            </w:pPr>
            <w:r>
              <w:t>时间</w:t>
            </w:r>
          </w:p>
        </w:tc>
        <w:tc>
          <w:tcPr>
            <w:tcW w:type="dxa" w:w="4649"/>
          </w:tcPr>
          <w:p>
            <w:pPr>
              <w:keepNext/>
            </w:pPr>
            <w:r>
              <w:t>安排</w:t>
            </w:r>
          </w:p>
        </w:tc>
      </w:tr>
      <w:tr>
        <w:tc>
          <w:tcPr>
            <w:tcW w:type="dxa" w:w="4649"/>
          </w:tcPr>
          <w:p>
            <w:r>
              <w:t>周一晚上</w:t>
            </w:r>
          </w:p>
        </w:tc>
        <w:tc>
          <w:tcPr>
            <w:tcW w:type="dxa" w:w="4649"/>
          </w:tcPr>
          <w:p>
            <w:r>
              <w:t>英语培优班与潜力班</w:t>
            </w:r>
          </w:p>
        </w:tc>
      </w:tr>
      <w:tr>
        <w:tc>
          <w:tcPr>
            <w:tcW w:type="dxa" w:w="4649"/>
          </w:tcPr>
          <w:p>
            <w:r>
              <w:t>周二</w:t>
            </w:r>
          </w:p>
        </w:tc>
        <w:tc>
          <w:tcPr>
            <w:tcW w:type="dxa" w:w="4649"/>
          </w:tcPr>
          <w:p>
            <w:r>
              <w:t>全年级数学测试</w:t>
            </w:r>
          </w:p>
        </w:tc>
      </w:tr>
      <w:tr>
        <w:tc>
          <w:tcPr>
            <w:tcW w:type="dxa" w:w="4649"/>
          </w:tcPr>
          <w:p>
            <w:r>
              <w:t>周三下午第九第十节</w:t>
            </w:r>
          </w:p>
        </w:tc>
        <w:tc>
          <w:tcPr>
            <w:tcW w:type="dxa" w:w="4649"/>
          </w:tcPr>
          <w:p>
            <w:r>
              <w:t>数学分层讲评</w:t>
            </w:r>
          </w:p>
        </w:tc>
      </w:tr>
      <w:tr>
        <w:tc>
          <w:tcPr>
            <w:tcW w:type="dxa" w:w="4649"/>
          </w:tcPr>
          <w:p>
            <w:r>
              <w:t>周三晚上</w:t>
            </w:r>
          </w:p>
        </w:tc>
        <w:tc>
          <w:tcPr>
            <w:tcW w:type="dxa" w:w="4649"/>
          </w:tcPr>
          <w:p>
            <w:r>
              <w:t>英语测试</w:t>
            </w:r>
          </w:p>
        </w:tc>
      </w:tr>
      <w:tr>
        <w:tc>
          <w:tcPr>
            <w:tcW w:type="dxa" w:w="4649"/>
          </w:tcPr>
          <w:p>
            <w:r>
              <w:t>周四下午第九第十节</w:t>
            </w:r>
          </w:p>
        </w:tc>
        <w:tc>
          <w:tcPr>
            <w:tcW w:type="dxa" w:w="4649"/>
          </w:tcPr>
          <w:p>
            <w:r>
              <w:t>英语分层讲评</w:t>
            </w:r>
          </w:p>
        </w:tc>
      </w:tr>
      <w:tr>
        <w:tc>
          <w:tcPr>
            <w:tcW w:type="dxa" w:w="4649"/>
          </w:tcPr>
          <w:p>
            <w:r>
              <w:t>周四晚上</w:t>
            </w:r>
          </w:p>
        </w:tc>
        <w:tc>
          <w:tcPr>
            <w:tcW w:type="dxa" w:w="4649"/>
          </w:tcPr>
          <w:p>
            <w:r>
              <w:t>数学培优班与潜力班</w:t>
            </w:r>
          </w:p>
        </w:tc>
      </w:tr>
      <w:tr>
        <w:tc>
          <w:tcPr>
            <w:tcW w:type="dxa" w:w="4649"/>
          </w:tcPr>
          <w:p>
            <w:r>
              <w:t>周日</w:t>
            </w:r>
          </w:p>
        </w:tc>
        <w:tc>
          <w:tcPr>
            <w:tcW w:type="dxa" w:w="4649"/>
          </w:tcPr>
          <w:p>
            <w:r>
              <w:t>强化课程；部分班级上午另有强基课程，下午全年级强化</w:t>
            </w:r>
          </w:p>
        </w:tc>
      </w:tr>
    </w:tbl>
    <w:p>
      <w:r>
        <w:t>数学按学生情况进行分层，现场提到从1到12的分层安排。周二测试后，老师会在周三下午前完成批改，再按层次有针对性地讲解：基础需要加强的学生重在夯实基础，较高水平学生更关注迁移运用和后面的大题。英语也采用测试后分层讲评的方式。</w:t>
      </w:r>
    </w:p>
    <w:p>
      <w:r>
        <w:t>主任称开学以来课程参与和学生状态总体较好，学生较高二更安静，也更知道要学习。本周周日课程在会议时暂未调整，若天气突变，学校会在群内通知；这属于会议当周安排。</w:t>
      </w:r>
    </w:p>
    <w:p>
      <w:pPr>
        <w:pStyle w:val="Heading1"/>
      </w:pPr>
      <w:r>
        <w:t>五 请假 迟到与翻译笔管理</w:t>
      </w:r>
    </w:p>
    <w:p>
      <w:r>
        <w:t>主任指出，第一次诊断考试结束后，个别班级出现较多请假。休息与调整可以理解，但考完一次试不意味着高三任务结束。家长应合理引导，避免把“考试结束”默认等同于“请假回家”。考后可以适当降低强度，看看语文素材、背词汇、整理状态，调整并非只有离校一种形式。</w:t>
      </w:r>
    </w:p>
    <w:p>
      <w:r>
        <w:t>请假应按学校要求通过钉钉等规定流程办理。主任希望后续考试结束后的非必要请假减少，并提醒关注早晨迟到问题。</w:t>
      </w:r>
    </w:p>
    <w:p>
      <w:r>
        <w:t>学校明令禁止翻译笔进入校园，主任将其作为电子产品管理，并提到考试中曾出现利用此类设备进行不当行为的情况。学习上，频繁依赖查译而不背记，也会形成依赖。查到词义之后仍须把词汇掌握下来，不能停留在“查过了”。</w:t>
      </w:r>
    </w:p>
    <w:p>
      <w:pPr>
        <w:pStyle w:val="Heading1"/>
      </w:pPr>
      <w:r>
        <w:t>六 高考报名与日常事务请家长及时配合</w:t>
      </w:r>
    </w:p>
    <w:p>
      <w:r>
        <w:t>缴纳学费、餐费等事项应按通知及时完成，减少班主任反复提醒，把老师的时间留给教学和学生支持。</w:t>
      </w:r>
    </w:p>
    <w:p>
      <w:r>
        <w:t>主任特别强调，高考报名信息已集中核查、修正，后续教务会打印信息并组织确认签字。家长和学生不要再自行反复修改已提交内容；如发现错误，联系班主任或教务老师，由学校协调处理，避免出现系统版本和打印签字版本不一致。</w:t>
      </w:r>
    </w:p>
    <w:p>
      <w:r>
        <w:t>主任说，以往高考报名后仅极少数信息需要修改，但本次学校专门开放机房集中核查，现场称约有三分之二的学生填报信息有误，因此特别要求家长和学生不要在集中修正后又自行改动。这个比例是主任的现场口述，用来解释为何要统一处理。</w:t>
      </w:r>
    </w:p>
    <w:p>
      <w:r>
        <w:t>老师除了上课和班级事务，还要随时处理学生的情绪波动。家长及时完成自己能够办理的事项，就是对班主任和学科老师工作的支持。</w:t>
      </w:r>
    </w:p>
    <w:p>
      <w:pPr>
        <w:pStyle w:val="Heading1"/>
      </w:pPr>
      <w:r>
        <w:t>七 提前准备机会 并持续关注孩子</w:t>
      </w:r>
    </w:p>
    <w:p>
      <w:r>
        <w:t>课题、综评事例等材料，该填的填、该交的交，不要因为目前觉得自己考不到相应分数，就提前放弃。主任举过往学生的例子：报名强基时没想到后来能考到610分，成绩出来后反而后悔选择不够大胆。机会要建立在充分准备之上，学生仍有成长空间。</w:t>
      </w:r>
    </w:p>
    <w:p>
      <w:r>
        <w:t>包容孩子不能只表现为少说话、不争吵。主任提到，有学生课间会到年级部办公室坐一会儿，希望获得一点力量、关心或短暂休息。家长也应保留类似的情感连接。</w:t>
      </w:r>
    </w:p>
    <w:p>
      <w:r>
        <w:t>孩子回家关上门，并不代表家长可以完全不闻不问。可以通过合适的方式关心休息、递一点食物或一杯热牛奶，观察情绪和状态变化。若孩子的近况学校已经从同学处了解到，家长却始终不知情，就需要重新审视家庭沟通。</w:t>
      </w:r>
    </w:p>
    <w:p>
      <w:r>
        <w:t>主任最后希望家长合理看待诊断结果，结合多元升学路径和政策帮助学生平稳度过高三，成为更好的自己。家长先稳住，孩子才更容易稳住。</w:t>
      </w:r>
    </w:p>
    <w:sectPr w:rsidR="00FC693F" w:rsidRPr="0006063C" w:rsidSect="00034616">
      <w:footerReference w:type="default" r:id="rId9"/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00" w:lineRule="auto"/>
    </w:pPr>
    <w:rPr>
      <w:rFonts w:ascii="Source Han Sans CN" w:hAnsi="Source Han Sans CN" w:eastAsia="Source Han Sans C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300" w:lineRule="auto"/>
      <w:outlineLvl w:val="0"/>
    </w:pPr>
    <w:rPr>
      <w:rFonts w:asciiTheme="majorHAnsi" w:eastAsiaTheme="majorEastAsia" w:hAnsiTheme="majorHAnsi" w:cstheme="majorBidi" w:ascii="Source Han Sans CN" w:hAnsi="Source Han Sans CN" w:eastAsia="Source Han Sans CN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300" w:lineRule="auto"/>
      <w:outlineLvl w:val="1"/>
    </w:pPr>
    <w:rPr>
      <w:rFonts w:asciiTheme="majorHAnsi" w:eastAsiaTheme="majorEastAsia" w:hAnsiTheme="majorHAnsi" w:cstheme="majorBidi" w:ascii="Source Han Sans CN" w:hAnsi="Source Han Sans CN" w:eastAsia="Source Han Sans C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300" w:lineRule="auto"/>
      <w:contextualSpacing/>
    </w:pPr>
    <w:rPr>
      <w:rFonts w:asciiTheme="majorHAnsi" w:eastAsiaTheme="majorEastAsia" w:hAnsiTheme="majorHAnsi" w:cstheme="majorBidi" w:ascii="Source Han Sans CN" w:hAnsi="Source Han Sans CN" w:eastAsia="Source Han Sans CN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300" w:lineRule="auto"/>
    </w:pPr>
    <w:rPr>
      <w:rFonts w:asciiTheme="majorHAnsi" w:eastAsiaTheme="majorEastAsia" w:hAnsiTheme="majorHAnsi" w:cstheme="majorBidi" w:ascii="Source Han Sans CN" w:hAnsi="Source Han Sans CN" w:eastAsia="Source Han Sans CN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300" w:lineRule="auto" w:after="140"/>
    </w:pPr>
    <w:rPr>
      <w:rFonts w:ascii="Source Han Sans CN" w:hAnsi="Source Han Sans CN" w:eastAsia="Source Han Sans C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