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高考报考志愿讲座整理</w:t>
      </w:r>
    </w:p>
    <w:p>
      <w:pPr>
        <w:pStyle w:val="Subtitle"/>
      </w:pPr>
      <w:r>
        <w:t>2027届高三家长会  |  2026年10月23日</w:t>
      </w:r>
    </w:p>
    <w:p>
      <w:r>
        <w:t>讲座围绕高考形势、招考进程、升学路径、大学与专业选择以及家庭准备展开。核心思路是根据学生实际水平合理定位，结合春考、秋考、强基计划和综合评价等机会动态选择，并提前完成报名与材料准备。</w:t>
      </w:r>
    </w:p>
    <w:p>
      <w:pPr>
        <w:pStyle w:val="Heading1"/>
      </w:pPr>
      <w:r>
        <w:t>一 认识竞争形势并合理定位</w:t>
      </w:r>
    </w:p>
    <w:p>
      <w:r>
        <w:t>讲座先以2026年上海高考数据说明竞争环境。课件列示秋考考生约6.67万人，全国本科院校在沪招生计划45962人，对应本科率约68.90%；上海本科院校在沪计划34971人。艺体及提前批计划9860人，约14.78%；秋考专科计划7116人，约10.67%。上述统计不包含春考招生计划3639人，属于讲座采用的历史口径，不能直接视为2027年录取结果。</w:t>
      </w:r>
    </w:p>
    <w:p>
      <w:r>
        <w:t>老师认为，单看高校“扩招”并不足以判断升学难度，还要看新增计划能否匹配考生人数增长。讲座举例比较2025年与2026年的增量，强调新增考生与新增招生名额的比例不同。老师据此判断2027届竞争压力仍会增加；关于2027年考生增长、扩招幅度以及未来录取率走势，均属于现场分析和预测。</w:t>
      </w:r>
    </w:p>
    <w:p>
      <w:r>
        <w:t>老师用招生增量举例：2025年相较2024年，考生增加约1.2万人，而上海地区相关高校扩招计划约6611个；2026年相较2025年，报名人数增加约7500人，扩招计划约1338个。他强调“每增加100个考生，新增录取名额是多少”更能体现竞争变化。这里沿用现场口述数字及范围，不将报名人数与实际秋考人数混为同一统计口径。</w:t>
      </w:r>
    </w:p>
    <w:p>
      <w:r>
        <w:t>定位时要同时看总分、位次、各科结构和目标专业组。课件以2026年数据将成绩划为几个参考层次，帮助家庭理解目标与当前实力之间的距离。这里的“985”“211”“公办本科”等属于讲座分层示意，并非该类全部院校统一的录取线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324"/>
        <w:gridCol w:w="2324"/>
        <w:gridCol w:w="2324"/>
        <w:gridCol w:w="2324"/>
      </w:tblGrid>
      <w:tr>
        <w:trPr>
          <w:tblHeader/>
        </w:trPr>
        <w:tc>
          <w:tcPr>
            <w:tcW w:type="dxa" w:w="2324"/>
          </w:tcPr>
          <w:p>
            <w:pPr>
              <w:keepNext/>
            </w:pPr>
            <w:r>
              <w:t>参考层次</w:t>
            </w:r>
          </w:p>
        </w:tc>
        <w:tc>
          <w:tcPr>
            <w:tcW w:type="dxa" w:w="2324"/>
          </w:tcPr>
          <w:p>
            <w:pPr>
              <w:keepNext/>
            </w:pPr>
            <w:r>
              <w:t>语数英合计与均分</w:t>
            </w:r>
          </w:p>
        </w:tc>
        <w:tc>
          <w:tcPr>
            <w:tcW w:type="dxa" w:w="2324"/>
          </w:tcPr>
          <w:p>
            <w:pPr>
              <w:keepNext/>
            </w:pPr>
            <w:r>
              <w:t>加三合计</w:t>
            </w:r>
          </w:p>
        </w:tc>
        <w:tc>
          <w:tcPr>
            <w:tcW w:type="dxa" w:w="2324"/>
          </w:tcPr>
          <w:p>
            <w:pPr>
              <w:keepNext/>
            </w:pPr>
            <w:r>
              <w:t>总分示意</w:t>
            </w:r>
          </w:p>
        </w:tc>
      </w:tr>
      <w:tr>
        <w:tc>
          <w:tcPr>
            <w:tcW w:type="dxa" w:w="2324"/>
          </w:tcPr>
          <w:p>
            <w:r>
              <w:t>985层次</w:t>
            </w:r>
          </w:p>
        </w:tc>
        <w:tc>
          <w:tcPr>
            <w:tcW w:type="dxa" w:w="2324"/>
          </w:tcPr>
          <w:p>
            <w:r>
              <w:t>370分／约124分</w:t>
            </w:r>
          </w:p>
        </w:tc>
        <w:tc>
          <w:tcPr>
            <w:tcW w:type="dxa" w:w="2324"/>
          </w:tcPr>
          <w:p>
            <w:r>
              <w:t>201分</w:t>
            </w:r>
          </w:p>
        </w:tc>
        <w:tc>
          <w:tcPr>
            <w:tcW w:type="dxa" w:w="2324"/>
          </w:tcPr>
          <w:p>
            <w:r>
              <w:t>571分以上</w:t>
            </w:r>
          </w:p>
        </w:tc>
      </w:tr>
      <w:tr>
        <w:tc>
          <w:tcPr>
            <w:tcW w:type="dxa" w:w="2324"/>
          </w:tcPr>
          <w:p>
            <w:r>
              <w:t>211层次</w:t>
            </w:r>
          </w:p>
        </w:tc>
        <w:tc>
          <w:tcPr>
            <w:tcW w:type="dxa" w:w="2324"/>
          </w:tcPr>
          <w:p>
            <w:r>
              <w:t>351分／117分</w:t>
            </w:r>
          </w:p>
        </w:tc>
        <w:tc>
          <w:tcPr>
            <w:tcW w:type="dxa" w:w="2324"/>
          </w:tcPr>
          <w:p>
            <w:r>
              <w:t>192分</w:t>
            </w:r>
          </w:p>
        </w:tc>
        <w:tc>
          <w:tcPr>
            <w:tcW w:type="dxa" w:w="2324"/>
          </w:tcPr>
          <w:p>
            <w:r>
              <w:t>543分以上</w:t>
            </w:r>
          </w:p>
        </w:tc>
      </w:tr>
      <w:tr>
        <w:tc>
          <w:tcPr>
            <w:tcW w:type="dxa" w:w="2324"/>
          </w:tcPr>
          <w:p>
            <w:r>
              <w:t>综评控制线</w:t>
            </w:r>
          </w:p>
        </w:tc>
        <w:tc>
          <w:tcPr>
            <w:tcW w:type="dxa" w:w="2324"/>
          </w:tcPr>
          <w:p>
            <w:r>
              <w:t>321分／107分</w:t>
            </w:r>
          </w:p>
        </w:tc>
        <w:tc>
          <w:tcPr>
            <w:tcW w:type="dxa" w:w="2324"/>
          </w:tcPr>
          <w:p>
            <w:r>
              <w:t>183分</w:t>
            </w:r>
          </w:p>
        </w:tc>
        <w:tc>
          <w:tcPr>
            <w:tcW w:type="dxa" w:w="2324"/>
          </w:tcPr>
          <w:p>
            <w:r>
              <w:t>504分以上</w:t>
            </w:r>
          </w:p>
        </w:tc>
      </w:tr>
      <w:tr>
        <w:tc>
          <w:tcPr>
            <w:tcW w:type="dxa" w:w="2324"/>
          </w:tcPr>
          <w:p>
            <w:r>
              <w:t>公办本科参考</w:t>
            </w:r>
          </w:p>
        </w:tc>
        <w:tc>
          <w:tcPr>
            <w:tcW w:type="dxa" w:w="2324"/>
          </w:tcPr>
          <w:p>
            <w:r>
              <w:t>280分／约94分</w:t>
            </w:r>
          </w:p>
        </w:tc>
        <w:tc>
          <w:tcPr>
            <w:tcW w:type="dxa" w:w="2324"/>
          </w:tcPr>
          <w:p>
            <w:r>
              <w:t>165分</w:t>
            </w:r>
          </w:p>
        </w:tc>
        <w:tc>
          <w:tcPr>
            <w:tcW w:type="dxa" w:w="2324"/>
          </w:tcPr>
          <w:p>
            <w:r>
              <w:t>445分以上</w:t>
            </w:r>
          </w:p>
        </w:tc>
      </w:tr>
      <w:tr>
        <w:tc>
          <w:tcPr>
            <w:tcW w:type="dxa" w:w="2324"/>
          </w:tcPr>
          <w:p>
            <w:r>
              <w:t>本科控制线</w:t>
            </w:r>
          </w:p>
        </w:tc>
        <w:tc>
          <w:tcPr>
            <w:tcW w:type="dxa" w:w="2324"/>
          </w:tcPr>
          <w:p>
            <w:r>
              <w:t>256分／约86分</w:t>
            </w:r>
          </w:p>
        </w:tc>
        <w:tc>
          <w:tcPr>
            <w:tcW w:type="dxa" w:w="2324"/>
          </w:tcPr>
          <w:p>
            <w:r>
              <w:t>147分</w:t>
            </w:r>
          </w:p>
        </w:tc>
        <w:tc>
          <w:tcPr>
            <w:tcW w:type="dxa" w:w="2324"/>
          </w:tcPr>
          <w:p>
            <w:r>
              <w:t>403分以上</w:t>
            </w:r>
          </w:p>
        </w:tc>
      </w:tr>
    </w:tbl>
    <w:p>
      <w:r>
        <w:t>老师特别提醒，同一学校不同专业组的分数可能差很多。上海大学某些较低分专业组不能代表其理工科热门专业的实际要求；公办本科的最低分也可能来自特定中外合作专业组。家庭应先确认是否接受相应专业、学费和培养方式，再判断该最低分对自己的参考价值。老师在现场提出上海公办本科可能需要455分以上等判断，这属于针对2027届的个人估计。</w:t>
      </w:r>
    </w:p>
    <w:p>
      <w:r>
        <w:t>高考填报是在知分、知线、知位的条件下进行，老师强调，志愿技巧难以弥补较大的学业实力差距。目标应逐级推进：在本科线上下先稳住本科，在较高分段争取上一层次，而非把短期大幅跃升作为唯一计划。通过月考、一模、春考持续修正定位，同时稳住基础、身体、家庭氛围和心态。一次月考不应成为否定学生的依据。</w:t>
      </w:r>
    </w:p>
    <w:p>
      <w:r>
        <w:t>老师对“合理”的强调很强：一模和春考正常发挥后，应以呈现出的实力调整目标，不能将第二学期从400多分突然提升至540分等大跨度逆袭作为常规计划。现场以家长年收入从20万元提升到200万元作类比，说明只有期待和催促不足以让一个过高目标变得可执行。他对头部学生更强调稳定发挥，对中段学生强调提升同时守住基础，对相对薄弱学生强调认真比较其他路径。</w:t>
      </w:r>
    </w:p>
    <w:p>
      <w:pPr>
        <w:pStyle w:val="Heading1"/>
      </w:pPr>
      <w:r>
        <w:t>二 全年招考进程与报名意识</w:t>
      </w:r>
    </w:p>
    <w:p>
      <w:r>
        <w:t>老师要求家长形成提前报名、保留机会的意识。部分路径须先报名，再参加高考，最后根据成绩获得填报、校测或面试资格；如果前期漏报，出分后即使达到相应水平，也可能无法补上。各条路径可以在准备阶段并行，但录取后的资格限制须按对应招生规则确认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649"/>
        <w:gridCol w:w="4649"/>
      </w:tblGrid>
      <w:tr>
        <w:trPr>
          <w:tblHeader/>
        </w:trPr>
        <w:tc>
          <w:tcPr>
            <w:tcW w:type="dxa" w:w="4649"/>
          </w:tcPr>
          <w:p>
            <w:pPr>
              <w:keepNext/>
            </w:pPr>
            <w:r>
              <w:t>时间</w:t>
            </w:r>
          </w:p>
        </w:tc>
        <w:tc>
          <w:tcPr>
            <w:tcW w:type="dxa" w:w="4649"/>
          </w:tcPr>
          <w:p>
            <w:pPr>
              <w:keepNext/>
            </w:pPr>
            <w:r>
              <w:t>课件列示事项</w:t>
            </w:r>
          </w:p>
        </w:tc>
      </w:tr>
      <w:tr>
        <w:tc>
          <w:tcPr>
            <w:tcW w:type="dxa" w:w="4649"/>
          </w:tcPr>
          <w:p>
            <w:r>
              <w:t>10月</w:t>
            </w:r>
          </w:p>
        </w:tc>
        <w:tc>
          <w:tcPr>
            <w:tcW w:type="dxa" w:w="4649"/>
          </w:tcPr>
          <w:p>
            <w:r>
              <w:t>港澳高校报名陆续启动；招飞报名选拔；高考网上报名</w:t>
            </w:r>
          </w:p>
        </w:tc>
      </w:tr>
      <w:tr>
        <w:tc>
          <w:tcPr>
            <w:tcW w:type="dxa" w:w="4649"/>
          </w:tcPr>
          <w:p>
            <w:r>
              <w:t>11月至12月</w:t>
            </w:r>
          </w:p>
        </w:tc>
        <w:tc>
          <w:tcPr>
            <w:tcW w:type="dxa" w:w="4649"/>
          </w:tcPr>
          <w:p>
            <w:r>
              <w:t>上海纽约大学、昆山杜克大学等报名；艺术类专业市统考</w:t>
            </w:r>
          </w:p>
        </w:tc>
      </w:tr>
      <w:tr>
        <w:tc>
          <w:tcPr>
            <w:tcW w:type="dxa" w:w="4649"/>
          </w:tcPr>
          <w:p>
            <w:r>
              <w:t>12月至次年5月</w:t>
            </w:r>
          </w:p>
        </w:tc>
        <w:tc>
          <w:tcPr>
            <w:tcW w:type="dxa" w:w="4649"/>
          </w:tcPr>
          <w:p>
            <w:r>
              <w:t>部分新型高校、提前批综合评价、高水平运动队及艺术类校考相关报名测试</w:t>
            </w:r>
          </w:p>
        </w:tc>
      </w:tr>
      <w:tr>
        <w:tc>
          <w:tcPr>
            <w:tcW w:type="dxa" w:w="4649"/>
          </w:tcPr>
          <w:p>
            <w:r>
              <w:t>1月</w:t>
            </w:r>
          </w:p>
        </w:tc>
        <w:tc>
          <w:tcPr>
            <w:tcW w:type="dxa" w:w="4649"/>
          </w:tcPr>
          <w:p>
            <w:r>
              <w:t>春季高考及英语第一次考试；上海科技大学校园开放日报名等陆续开展</w:t>
            </w:r>
          </w:p>
        </w:tc>
      </w:tr>
      <w:tr>
        <w:tc>
          <w:tcPr>
            <w:tcW w:type="dxa" w:w="4649"/>
          </w:tcPr>
          <w:p>
            <w:r>
              <w:t>3月</w:t>
            </w:r>
          </w:p>
        </w:tc>
        <w:tc>
          <w:tcPr>
            <w:tcW w:type="dxa" w:w="4649"/>
          </w:tcPr>
          <w:p>
            <w:r>
              <w:t>春考志愿、校测及录取；专科自主招生</w:t>
            </w:r>
          </w:p>
        </w:tc>
      </w:tr>
      <w:tr>
        <w:tc>
          <w:tcPr>
            <w:tcW w:type="dxa" w:w="4649"/>
          </w:tcPr>
          <w:p>
            <w:r>
              <w:t>4月</w:t>
            </w:r>
          </w:p>
        </w:tc>
        <w:tc>
          <w:tcPr>
            <w:tcW w:type="dxa" w:w="4649"/>
          </w:tcPr>
          <w:p>
            <w:r>
              <w:t>强基计划报名；体育类统考及体育单招考试</w:t>
            </w:r>
          </w:p>
        </w:tc>
      </w:tr>
      <w:tr>
        <w:tc>
          <w:tcPr>
            <w:tcW w:type="dxa" w:w="4649"/>
          </w:tcPr>
          <w:p>
            <w:r>
              <w:t>5月</w:t>
            </w:r>
          </w:p>
        </w:tc>
        <w:tc>
          <w:tcPr>
            <w:tcW w:type="dxa" w:w="4649"/>
          </w:tcPr>
          <w:p>
            <w:r>
              <w:t>综评批报名；公安、军队院校报考意向登记；等级考</w:t>
            </w:r>
          </w:p>
        </w:tc>
      </w:tr>
      <w:tr>
        <w:tc>
          <w:tcPr>
            <w:tcW w:type="dxa" w:w="4649"/>
          </w:tcPr>
          <w:p>
            <w:r>
              <w:t>6月</w:t>
            </w:r>
          </w:p>
        </w:tc>
        <w:tc>
          <w:tcPr>
            <w:tcW w:type="dxa" w:w="4649"/>
          </w:tcPr>
          <w:p>
            <w:r>
              <w:t>秋季高考；部分高校校测、面试及体检；成绩与控制线公布</w:t>
            </w:r>
          </w:p>
        </w:tc>
      </w:tr>
      <w:tr>
        <w:tc>
          <w:tcPr>
            <w:tcW w:type="dxa" w:w="4649"/>
          </w:tcPr>
          <w:p>
            <w:r>
              <w:t>7月</w:t>
            </w:r>
          </w:p>
        </w:tc>
        <w:tc>
          <w:tcPr>
            <w:tcW w:type="dxa" w:w="4649"/>
          </w:tcPr>
          <w:p>
            <w:r>
              <w:t>志愿填报；强基校测及综评面试等后续环节</w:t>
            </w:r>
          </w:p>
        </w:tc>
      </w:tr>
    </w:tbl>
    <w:p>
      <w:r>
        <w:t>课件列出6月7日至9日秋考、6月23日公布成绩及控制线、7月初填报志愿等安排，属于现场所用时间表。2027届具体日期、报名窗口和程序应以当届正式通知为准。老师同时口头提醒，上海纽约大学当年的报名已启动，说明实际开放时间可能早于课件概括节点。</w:t>
      </w:r>
    </w:p>
    <w:p>
      <w:r>
        <w:t>讲座涉及的常见主线包括春考、专科自主招生、秋考，以及依托高考的强基、综评、提前批。春考语数外应认真准备，即便最后选择秋考，也能检验主科学习情况，尤其英语一考成绩会影响第二学期的精力分配。专科自招本次未作系统展开，有需要的家庭可另行了解院校与专业。</w:t>
      </w:r>
    </w:p>
    <w:p>
      <w:r>
        <w:t>现场还单独谈到上海纽约大学：老师称当年的报名已开始，并认为其较高档优惠主要争取本来有复旦、交大、同济水平的学生。他倾向于建议同层次学生先比较国内名校，再结合个人意愿决定是否走中外合作方向。这是讲者的选择偏好，不能写成所有家庭都适用的结论。</w:t>
      </w:r>
    </w:p>
    <w:p>
      <w:r>
        <w:t>对于艺术生，老师以300分专业统考中约240分以上作为经验性判断，提醒如果专业成绩竞争力不足，想靠艺考提升院校层次会很难。高三集训还会影响文化课和加三准备，因此需要考虑返回普通秋考竞争的成本。这是讲座中的条件性提醒，不是对所有艺术门类统一公布的资格线。</w:t>
      </w:r>
    </w:p>
    <w:p>
      <w:pPr>
        <w:pStyle w:val="Heading1"/>
      </w:pPr>
      <w:r>
        <w:t>三 正确认识春考及招生结构</w:t>
      </w:r>
    </w:p>
    <w:p>
      <w:r>
        <w:t>课件列出2026年参加春考的26所院校，涵盖华东政法大学、上海大学、上海理工大学、上海外国语大学，以及多所上海公办本科、民办本科院校。完整名单见配套PPT。老师强调，春考需要统一文化考试与后续校测共同竞争，不能简单理解为“成绩差才走的路”，也不能把学校介绍春考等同于分流学生。</w:t>
      </w:r>
    </w:p>
    <w:p>
      <w:r>
        <w:t>老师介绍，春考专业有自身的培养特色，应按学生兴趣、课程内容和未来发展评价，不能笼统认定为“不好的专业”。但“有特色”不等于适合每个学生，具体仍要研究专业与个人需求的匹配度。</w:t>
      </w:r>
    </w:p>
    <w:p>
      <w:r>
        <w:t>春考的公办学校数量较多，但招生名额有限；民办学校数量较少，计划占比较高。2026年课件总计划3639人，其中公办理工医698人、公办人文社科601人、民办2340人，民办约占64.30%。对完全不接受民办的家庭而言，春考可选择的名额会显著缩小。</w:t>
      </w:r>
    </w:p>
    <w:p>
      <w:r>
        <w:t>老师提醒，春考不是轻松上岸的保证。现场介绍公办校测一般按约1比2、民办约1比3形成竞争，具体投档与校测规则须看院校当届简章。高分考生也会参与春考，不能只凭文化分超过最低入围线，就把后续录取视为确定。</w:t>
      </w:r>
    </w:p>
    <w:p>
      <w:pPr>
        <w:pStyle w:val="Heading1"/>
      </w:pPr>
      <w:r>
        <w:t>四 按成绩结构评估春考与秋考</w:t>
      </w:r>
    </w:p>
    <w:p>
      <w:r>
        <w:t>课件以2026年语数外总分给出春考专业分段：360—372分、340—359分、320—339分、300—319分、270—299分和251—269分。各段对应的院校和专业见配套PPT。该分段用于回看当年选择空间，不能机械套用为2027年录取线。</w:t>
      </w:r>
    </w:p>
    <w:p>
      <w:r>
        <w:t>老师对公办春考的直接判断是：语数外450分总分中，约320分以上才更可能有一些选择余地。对330分以上与以下，现场给出了较明确的不同倾向；对约290分以下、加三和状态又不占优势的学生，建议抓住春考的语气尤其明确。对310至320分左右学生，则要求具体分析。以上均是老师的经验判断，保留其条件和倾向，不作为学校正式录取标准。</w:t>
      </w:r>
    </w:p>
    <w:p>
      <w:r>
        <w:t>对于语数外约360分以上、加三也具备较强实力的学生，老师倾向于建议继续争取秋考更高层次的院校。其比较方法是把春考学校与秋考可达目标放在一起看：如果语数外本已很强，再叠加较好的等级考成绩，可能有更广的院校与专业选择；不宜只因想提前结束高三而放弃。</w:t>
      </w:r>
    </w:p>
    <w:p>
      <w:r>
        <w:t>对于约340分及以上、或330分以上的学生，老师也主张谨慎评估机会成本，尤其要计算“目标学校秋考分数减去自己的春考语数外分数”，再看加三能否合理补足。现场以上海应用技术大学相关专业举例，说明春考竞争分数较高，并不必然意味着与该生秋考预期相比更划算。个别分数是口头约数，应以课件和正式招生数据核对。</w:t>
      </w:r>
    </w:p>
    <w:p>
      <w:r>
        <w:t>对于约300分上下及以下、加三偏弱、继续提升空间有限的学生，老师建议认真抓住春考。对约310至320分、仍在犹豫的学生，应结合加三选科、等级表现、真实兴趣以及老师判断决定。讲座提出，在明确倾向春考的前提下，阶段性把更多精力投入语数外，加三先跟住校内节奏；若春考后决定继续秋考，再调整投入。这个建议针对特定学生，不能一概理解为停止学习等级科目。</w:t>
      </w:r>
    </w:p>
    <w:p>
      <w:r>
        <w:t>老师将适合重点评估春考的情形归纳为：整体位次处于相对靠后区间；加三明显拖累且短期难以改变；非常喜欢某个春考招生专业；持续出现学习意愿下降、心理负担过重或重大考试时身体状态不稳。判断应听取孩子本人及学校老师的意见，综合多次考试表现，而非只依据补课机构的乐观承诺。</w:t>
      </w:r>
    </w:p>
    <w:p>
      <w:r>
        <w:t>老师举了两位文化成绩在310分以上、希望春考录取的学生案例：填报公办及上海杉达学院相关专业后，仍未能通过后续竞争。他以此提醒，民办热门专业也可能出现高分考生集中投档，过去的“保底”经验会失效。课件中康复治疗学、护理学等专业应结合具体年度校测和录取规则判断。</w:t>
      </w:r>
    </w:p>
    <w:p>
      <w:r>
        <w:t>老师举了两端案例：若正常发挥仍未到当年春考最低志愿填报控制线（现场以2026年251分举例），应及时关注3月专科自主招生；若语数外约350分、加三也有竞争力且没有明显个体困难，则更倾向继续秋考，甚至研究强基与综评。春考不只是考英语，语文和数学也要认真考，以便看清实力。</w:t>
      </w:r>
    </w:p>
    <w:p>
      <w:r>
        <w:t>关于心理和身体状况，老师的原意是先共情，再讨论路径：孩子不止一次认真表示“我好累”“不想读了”，家长先接住情绪，询问打算，而不是马上责备或要求“再挺一挺”。老师认为上述适合春考的条件符合一项就值得认真考虑，符合两项以上时更应抓住机会。</w:t>
      </w:r>
    </w:p>
    <w:p>
      <w:pPr>
        <w:pStyle w:val="Heading1"/>
      </w:pPr>
      <w:r>
        <w:t>五 城市 学校 专业与家庭承受能力</w:t>
      </w:r>
    </w:p>
    <w:p>
      <w:r>
        <w:t>老师提出选择时应同时考虑城市、学校和专业，并表达了对部分分数段留沪发展的偏好。他认为，大学带来的不仅是课程知识，也包括实习、人脉、平台及就业资源；对于计划回沪就业的学生，应衡量异地读书能否换来明显更好的学校或专业，以及往返、生活和未来就业成本。</w:t>
      </w:r>
    </w:p>
    <w:p>
      <w:r>
        <w:t>现场举例，若在上海可读普通本科，赴外地能提升到211；或在沪可读211，赴外地能提升到较强985；又或者明确希望学医、在上海难以实现目标，跨省选择可能有实际意义。反之，如果只是为了避开民办而接受城市、学校、专业均不理想的组合，应充分比较。关于外地学校、民办学校和就业的评价属于讲者观点，家庭仍需结合学费承受能力、学生意愿及专业事实做决定。</w:t>
      </w:r>
    </w:p>
    <w:p>
      <w:r>
        <w:t>老师以本科生直接就业与继续深造的区别说明，不宜只看一个就业比例判断学校。现场关于个别大学就业率、个别专科专业订单就业等说法是口头举例，缺乏配套统计口径，不能理解成就业保证。</w:t>
      </w:r>
    </w:p>
    <w:p>
      <w:pPr>
        <w:pStyle w:val="Heading1"/>
      </w:pPr>
      <w:r>
        <w:t>六 强基计划的定位与入围方式</w:t>
      </w:r>
    </w:p>
    <w:p>
      <w:r>
        <w:t>老师将强基计划介绍为服务国家战略、选拔有基础学科志向或相关特长学生的路径，强调并非只有竞赛获奖者才能参加。课件以39所985院校为总体背景，列出在沪招生情况及往年变化；院校是否在上海招生、开放哪些专业，要看当届简章。强基通常只能选择一所学校报名，因此应研究成绩匹配与专业志向，而非只看学校名气。</w:t>
      </w:r>
    </w:p>
    <w:p>
      <w:r>
        <w:t>课件列示强基一般在4月启动，经历简章发布、报名、高考、确认或初试、入围、校测、录取等环节，不同学校的顺序和具体办法存在差异。校测可能涉及体测、笔试和面试，部分院校先举行初试。课件称高考成绩占综合成绩比例不低于85%，具体算法须按学校简章核实。</w:t>
      </w:r>
    </w:p>
    <w:p>
      <w:r>
        <w:t>现场介绍五类入围方式：按高考成绩入围；凭特定单科成绩达到要求获得“小破格”机会；对相关学科成绩加权后排序；符合规定的竞赛获奖者破格入围；以校测初试成绩筛选进入后续考核。不能把某校某年的数学分数要求或某门等级A+，直接当成所有学校通用条件。</w:t>
      </w:r>
    </w:p>
    <w:p>
      <w:r>
        <w:t>老师列举部分院校2026年强基入围分数与秋考统招分数的差异，意在说明一本线以上的学生不应过早认定“强基与我无关”。入围仅代表获得后续竞争资格，不能把较低的入围分等同于最终录取分。应结合学科实力、校测难度、培养方式和长期兴趣选择。</w:t>
      </w:r>
    </w:p>
    <w:p>
      <w:r>
        <w:t>强基专业以基础学科为重要方向，部分培养项目强调本研衔接。老师鼓励愿意从事基础研究的学生拓宽地域选择，同时也承认并非每个学生都适合这种专业与培养模式。关于AI、编程与未来就业的讨论，是讲者用于提醒家长关注长期变化的判断，不能据此直接断定某一学科必然没有就业前景。</w:t>
      </w:r>
    </w:p>
    <w:p>
      <w:r>
        <w:t>强基部分还举出2026年个别院校的入围案例：大连理工大学约540分以下，中山大学生态、生物相关专业约521分、517分，北京理工大学材料相关专业按加权办法倒算约535分。老师借此说明可能存在机会。以上是其现场举例或估算，没有把入围资格写作最终录取结果，也不据此承诺下一年相同分数可录取。</w:t>
      </w:r>
    </w:p>
    <w:p>
      <w:pPr>
        <w:pStyle w:val="Heading1"/>
      </w:pPr>
      <w:r>
        <w:t>七 综合评价及面试材料准备</w:t>
      </w:r>
    </w:p>
    <w:p>
      <w:r>
        <w:t>老师介绍，上海综评批是希望争取本地较高层次院校学生应关注的路径，现场以约550分以上作为经验性讨论起点，这不是统一报考资格线或录取承诺。课件列出复旦、交大、同济、财大、华师大、上外、华理、东华、上大、中医药及浙大等院校近年计划、入围分和相关比例，见配套PPT中的可编辑表格。</w:t>
      </w:r>
    </w:p>
    <w:p>
      <w:r>
        <w:t>综评以高考成绩和面试等综合评价相结合。老师现场以85比15介绍成绩权重，提醒面试可能影响专业竞争，但仍须满足相应资格与成绩要求，不能将其理解为脱离高考成绩的捷径。报考时应按当届院校和专业组规则操作。</w:t>
      </w:r>
    </w:p>
    <w:p>
      <w:r>
        <w:t>讲座建议春考后、寒假期间开始整理材料，参考上一年度招生要求，提前梳理个人陈述、活动、课题、成绩和相关经历。综评报名阶段可关注多个符合条件的目标学校，避免只报一所后出现“报的分数没到、达到分数的没有报”的被动局面。</w:t>
      </w:r>
    </w:p>
    <w:p>
      <w:r>
        <w:t>高三最后一次综合素质档案中的自我介绍要认真写。课件给出的基本信息包括姓名、性别、籍贯、民族、出生年月、政治面貌、健康状况、住址、联系方式等；另列最感兴趣的职业、行业或专业1至3项。自我介绍不超过500字，通过真实典型事例说明社会责任感、专业志向与才能、个性特点和爱好。</w:t>
      </w:r>
    </w:p>
    <w:p>
      <w:r>
        <w:t>老师强调，在有限字数内突出真实优势，避免把宝贵篇幅用于反复罗列不足。职业兴趣、自我介绍、所报专业和面试表达要能相互解释。他举例，一名兴趣偏人文社科但在家长要求下报理工专业的学生，面试时会被追问为何选择该专业；若志向明显矛盾，会影响表达的可信度。</w:t>
      </w:r>
    </w:p>
    <w:p>
      <w:r>
        <w:t>材料应由学生认真梳理自己的经历与认识，可借助AI修改语言，但不宜生成脱离本人经历的空泛陈述。讲座同时建议回看高一职业倾向测评，结合三年来的真实变化，与孩子共同确定发展方向；测评只能提供参考。</w:t>
      </w:r>
    </w:p>
    <w:p>
      <w:pPr>
        <w:pStyle w:val="Heading1"/>
      </w:pPr>
      <w:r>
        <w:t>八 高三学习节奏与家长支持</w:t>
      </w:r>
    </w:p>
    <w:p>
      <w:r>
        <w:t>课件把复习安排与关键考试对应起来：高二期末和合格考、高三9月摸底、11月期中、12月一轮复习推进、一模、1月春考及英语一考、4月前后二模与强基报名、5月等级考、6月秋考。学校复习节奏与学生个人理解、巩固和应用的节奏要逐步衔接。</w:t>
      </w:r>
    </w:p>
    <w:p>
      <w:r>
        <w:t>本学期家庭重点是三件事：判断是否适合春考；完成重要个人材料，尤其自我介绍；认真备战英语一考。家长还应做好报名规划、动态比较路径，建立稳定的家庭氛围，关注孩子发展方向。</w:t>
      </w:r>
    </w:p>
    <w:p>
      <w:r>
        <w:t>老师强调高三学习训练的投入，也谈到长期训练能积累直面困难的勇气。他在现场使用“只要不学死，就往死里学”等夸张口语，并称学习的苦值得承受，反对家长单因作业多而过度心疼。这里按讲者观点记录，同时保留他在前文对孩子反复疲惫、身心状况不稳时应共情并比较春考路径的条件，不能只截取其中一句。</w:t>
      </w:r>
    </w:p>
    <w:p>
      <w:r>
        <w:t>讲座最后强调有温度地看待分数，减少重复催促，多做实际支持。选择应服务学生长期发展，适合自己的升学路径比单纯追逐同一所学校更重要。</w:t>
      </w:r>
    </w:p>
    <w:p>
      <w:pPr>
        <w:pStyle w:val="Heading1"/>
      </w:pPr>
      <w:r>
        <w:t>资料索引</w:t>
      </w:r>
    </w:p>
    <w:p>
      <w:r>
        <w:t>对应大录音前段，约00:00至64:22。现场课件文字以照片为核对依据，口头约数和预测在正文中予以区分。录音中的讲者姓氏未能仅凭声音确定字形，本文统一称“老师”。</w:t>
      </w:r>
    </w:p>
    <w:p>
      <w:pPr>
        <w:pStyle w:val="Heading1"/>
      </w:pPr>
      <w:r>
        <w:t>现场口述与整理边界</w:t>
      </w:r>
    </w:p>
    <w:p>
      <w:r>
        <w:t>本稿为按主题整理的完整意思记录，保留主要论点、重要条件、数据与关键案例，不是逐字逐句的速记稿。历史招生数字取自现场课件或口述，预测及价值判断均归于讲者。对录音听不清或照片无法确认的内容，不补写为确定事实。文后附按现场屏幕内容重制的清晰课件页面，同时保留配套可编辑PPT。</w:t>
      </w:r>
    </w:p>
    <w:p>
      <w:pPr>
        <w:sectPr>
          <w:footerReference w:type="default" r:id="rId9"/>
          <w:pgSz w:w="11906" w:h="16838"/>
          <w:pgMar w:top="1247" w:right="1304" w:bottom="1134" w:left="1304" w:header="720" w:footer="720" w:gutter="0"/>
          <w:cols w:space="720"/>
          <w:docGrid w:linePitch="360"/>
        </w:sectPr>
      </w:pPr>
    </w:p>
    <w:p>
      <w:pPr>
        <w:keepNext/>
        <w:spacing w:after="40" w:before="0"/>
      </w:pPr>
      <w:r>
        <w:rPr>
          <w:sz w:val="18"/>
        </w:rPr>
        <w:t>重制课件 03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04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05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07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08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09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10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11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12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13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14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4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15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5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16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6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17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7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18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8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19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9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20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20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21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21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22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22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23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23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24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24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26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26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27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27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28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28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29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29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31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31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32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32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33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33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34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34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35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35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36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36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37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37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39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39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40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40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41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41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42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42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43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43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44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44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/>
        <w:spacing w:after="40" w:before="0"/>
      </w:pPr>
      <w:r>
        <w:rPr>
          <w:sz w:val="18"/>
        </w:rPr>
        <w:t>重制课件 45</w:t>
      </w:r>
    </w:p>
    <w:p>
      <w:r>
        <w:drawing>
          <wp:inline xmlns:a="http://schemas.openxmlformats.org/drawingml/2006/main" xmlns:pic="http://schemas.openxmlformats.org/drawingml/2006/picture">
            <wp:extent cx="9648000" cy="5427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45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648000" cy="5427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00" w:lineRule="auto"/>
    </w:pPr>
    <w:rPr>
      <w:rFonts w:ascii="Source Han Sans CN" w:hAnsi="Source Han Sans CN" w:eastAsia="Source Han Sans C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300" w:lineRule="auto"/>
      <w:outlineLvl w:val="0"/>
    </w:pPr>
    <w:rPr>
      <w:rFonts w:asciiTheme="majorHAnsi" w:eastAsiaTheme="majorEastAsia" w:hAnsiTheme="majorHAnsi" w:cstheme="majorBidi" w:ascii="Source Han Sans CN" w:hAnsi="Source Han Sans CN" w:eastAsia="Source Han Sans C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300" w:lineRule="auto"/>
      <w:outlineLvl w:val="1"/>
    </w:pPr>
    <w:rPr>
      <w:rFonts w:asciiTheme="majorHAnsi" w:eastAsiaTheme="majorEastAsia" w:hAnsiTheme="majorHAnsi" w:cstheme="majorBidi" w:ascii="Source Han Sans CN" w:hAnsi="Source Han Sans CN" w:eastAsia="Source Han Sans C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300" w:lineRule="auto"/>
      <w:contextualSpacing/>
    </w:pPr>
    <w:rPr>
      <w:rFonts w:asciiTheme="majorHAnsi" w:eastAsiaTheme="majorEastAsia" w:hAnsiTheme="majorHAnsi" w:cstheme="majorBidi" w:ascii="Source Han Sans CN" w:hAnsi="Source Han Sans CN" w:eastAsia="Source Han Sans CN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300" w:lineRule="auto"/>
    </w:pPr>
    <w:rPr>
      <w:rFonts w:asciiTheme="majorHAnsi" w:eastAsiaTheme="majorEastAsia" w:hAnsiTheme="majorHAnsi" w:cstheme="majorBidi" w:ascii="Source Han Sans CN" w:hAnsi="Source Han Sans CN" w:eastAsia="Source Han Sans CN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300" w:lineRule="auto" w:after="140"/>
    </w:pPr>
    <w:rPr>
      <w:rFonts w:ascii="Source Han Sans CN" w:hAnsi="Source Han Sans CN" w:eastAsia="Source Han Sans C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Relationship Id="rId36" Type="http://schemas.openxmlformats.org/officeDocument/2006/relationships/image" Target="media/image27.png"/><Relationship Id="rId37" Type="http://schemas.openxmlformats.org/officeDocument/2006/relationships/image" Target="media/image28.png"/><Relationship Id="rId38" Type="http://schemas.openxmlformats.org/officeDocument/2006/relationships/image" Target="media/image29.png"/><Relationship Id="rId39" Type="http://schemas.openxmlformats.org/officeDocument/2006/relationships/image" Target="media/image30.png"/><Relationship Id="rId40" Type="http://schemas.openxmlformats.org/officeDocument/2006/relationships/image" Target="media/image31.png"/><Relationship Id="rId41" Type="http://schemas.openxmlformats.org/officeDocument/2006/relationships/image" Target="media/image32.png"/><Relationship Id="rId42" Type="http://schemas.openxmlformats.org/officeDocument/2006/relationships/image" Target="media/image33.png"/><Relationship Id="rId43" Type="http://schemas.openxmlformats.org/officeDocument/2006/relationships/image" Target="media/image34.png"/><Relationship Id="rId44" Type="http://schemas.openxmlformats.org/officeDocument/2006/relationships/image" Target="media/image35.png"/><Relationship Id="rId45" Type="http://schemas.openxmlformats.org/officeDocument/2006/relationships/image" Target="media/image36.png"/><Relationship Id="rId46" Type="http://schemas.openxmlformats.org/officeDocument/2006/relationships/image" Target="media/image37.png"/><Relationship Id="rId47" Type="http://schemas.openxmlformats.org/officeDocument/2006/relationships/image" Target="media/image38.png"/><Relationship Id="rId48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